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45" w:type="dxa"/>
        <w:jc w:val="center"/>
        <w:tblLayout w:type="fixed"/>
        <w:tblCellMar>
          <w:top w:w="0" w:type="dxa"/>
          <w:left w:w="108" w:type="dxa"/>
          <w:bottom w:w="0" w:type="dxa"/>
          <w:right w:w="108" w:type="dxa"/>
        </w:tblCellMar>
      </w:tblPr>
      <w:tblGrid>
        <w:gridCol w:w="1263"/>
        <w:gridCol w:w="1264"/>
        <w:gridCol w:w="1263"/>
        <w:gridCol w:w="1264"/>
        <w:gridCol w:w="1263"/>
        <w:gridCol w:w="1264"/>
        <w:gridCol w:w="1264"/>
      </w:tblGrid>
      <w:tr>
        <w:tblPrEx>
          <w:tblCellMar>
            <w:top w:w="0" w:type="dxa"/>
            <w:left w:w="108" w:type="dxa"/>
            <w:bottom w:w="0" w:type="dxa"/>
            <w:right w:w="108" w:type="dxa"/>
          </w:tblCellMar>
        </w:tblPrEx>
        <w:trPr>
          <w:trHeight w:val="1701" w:hRule="atLeast"/>
          <w:jc w:val="center"/>
        </w:trPr>
        <w:tc>
          <w:tcPr>
            <w:tcW w:w="8845" w:type="dxa"/>
            <w:gridSpan w:val="7"/>
            <w:shd w:val="clear" w:color="auto" w:fill="auto"/>
            <w:vAlign w:val="center"/>
          </w:tcPr>
          <w:p>
            <w:pPr>
              <w:snapToGrid w:val="0"/>
              <w:jc w:val="center"/>
              <w:rPr>
                <w:rFonts w:hint="eastAsia" w:ascii="方正小标宋简体" w:hAnsi="Bookman Old Style" w:eastAsia="方正小标宋简体"/>
                <w:color w:val="FF0000"/>
                <w:spacing w:val="40"/>
                <w:w w:val="90"/>
                <w:sz w:val="72"/>
                <w:szCs w:val="72"/>
              </w:rPr>
            </w:pPr>
            <w:bookmarkStart w:id="7" w:name="_GoBack"/>
            <w:bookmarkEnd w:id="7"/>
            <w:r>
              <w:rPr>
                <w:rFonts w:hint="eastAsia" w:eastAsia="方正小标宋简体"/>
                <w:color w:val="FF0000"/>
                <w:spacing w:val="20"/>
                <w:sz w:val="72"/>
                <w:szCs w:val="72"/>
              </w:rPr>
              <mc:AlternateContent>
                <mc:Choice Requires="wpg">
                  <w:drawing>
                    <wp:anchor distT="0" distB="0" distL="114300" distR="114300" simplePos="0" relativeHeight="251660288" behindDoc="0" locked="0" layoutInCell="1" allowOverlap="1">
                      <wp:simplePos x="0" y="0"/>
                      <wp:positionH relativeFrom="column">
                        <wp:posOffset>3612515</wp:posOffset>
                      </wp:positionH>
                      <wp:positionV relativeFrom="paragraph">
                        <wp:posOffset>968375</wp:posOffset>
                      </wp:positionV>
                      <wp:extent cx="1386840" cy="836295"/>
                      <wp:effectExtent l="0" t="0" r="3810" b="1905"/>
                      <wp:wrapNone/>
                      <wp:docPr id="3" name="Group 32"/>
                      <wp:cNvGraphicFramePr/>
                      <a:graphic xmlns:a="http://schemas.openxmlformats.org/drawingml/2006/main">
                        <a:graphicData uri="http://schemas.microsoft.com/office/word/2010/wordprocessingGroup">
                          <wpg:wgp>
                            <wpg:cNvGrpSpPr/>
                            <wpg:grpSpPr>
                              <a:xfrm>
                                <a:off x="0" y="0"/>
                                <a:ext cx="1386840" cy="836295"/>
                                <a:chOff x="6607" y="2184"/>
                                <a:chExt cx="2184" cy="1317"/>
                              </a:xfrm>
                            </wpg:grpSpPr>
                            <wps:wsp>
                              <wps:cNvPr id="4" name="文本框 2"/>
                              <wps:cNvSpPr txBox="1">
                                <a:spLocks noChangeArrowheads="1"/>
                              </wps:cNvSpPr>
                              <wps:spPr bwMode="auto">
                                <a:xfrm>
                                  <a:off x="6607" y="2184"/>
                                  <a:ext cx="2154" cy="1155"/>
                                </a:xfrm>
                                <a:prstGeom prst="rect">
                                  <a:avLst/>
                                </a:prstGeom>
                                <a:solidFill>
                                  <a:srgbClr val="FFFFFF"/>
                                </a:solidFill>
                                <a:ln>
                                  <a:noFill/>
                                </a:ln>
                              </wps:spPr>
                              <wps:txbx>
                                <w:txbxContent>
                                  <w:p>
                                    <w:pPr>
                                      <w:jc w:val="center"/>
                                      <w:rPr>
                                        <w:rFonts w:hint="default" w:ascii="宋体" w:hAnsi="宋体"/>
                                        <w:color w:val="000000"/>
                                        <w:sz w:val="30"/>
                                        <w:szCs w:val="30"/>
                                        <w:lang w:eastAsia="zh-CN"/>
                                      </w:rPr>
                                    </w:pPr>
                                    <w:bookmarkStart w:id="3" w:name="xmusendunit"/>
                                    <w:r>
                                      <w:rPr>
                                        <w:rFonts w:hint="default" w:ascii="宋体" w:hAnsi="宋体"/>
                                        <w:color w:val="000000"/>
                                        <w:sz w:val="30"/>
                                        <w:szCs w:val="30"/>
                                        <w:lang w:eastAsia="zh-CN"/>
                                      </w:rPr>
                                      <w:t>资产与后勤</w:t>
                                    </w:r>
                                  </w:p>
                                  <w:p>
                                    <w:pPr>
                                      <w:jc w:val="center"/>
                                      <w:rPr>
                                        <w:sz w:val="30"/>
                                        <w:szCs w:val="30"/>
                                      </w:rPr>
                                    </w:pPr>
                                    <w:r>
                                      <w:rPr>
                                        <w:rFonts w:hint="default" w:ascii="宋体" w:hAnsi="宋体"/>
                                        <w:color w:val="000000"/>
                                        <w:sz w:val="30"/>
                                        <w:szCs w:val="30"/>
                                        <w:lang w:eastAsia="zh-CN"/>
                                      </w:rPr>
                                      <w:t>事务管理处</w:t>
                                    </w:r>
                                    <w:bookmarkEnd w:id="3"/>
                                  </w:p>
                                </w:txbxContent>
                              </wps:txbx>
                              <wps:bodyPr rot="0" vert="horz" wrap="square" lIns="91440" tIns="45720" rIns="91440" bIns="45720" anchor="t" anchorCtr="0" upright="1">
                                <a:noAutofit/>
                              </wps:bodyPr>
                            </wps:wsp>
                            <wps:wsp>
                              <wps:cNvPr id="5" name="文本框 2"/>
                              <wps:cNvSpPr txBox="1">
                                <a:spLocks noChangeArrowheads="1"/>
                              </wps:cNvSpPr>
                              <wps:spPr bwMode="auto">
                                <a:xfrm>
                                  <a:off x="6637" y="2991"/>
                                  <a:ext cx="2154" cy="510"/>
                                </a:xfrm>
                                <a:prstGeom prst="rect">
                                  <a:avLst/>
                                </a:prstGeom>
                                <a:solidFill>
                                  <a:srgbClr val="FFFFFF"/>
                                </a:solidFill>
                                <a:ln>
                                  <a:noFill/>
                                </a:ln>
                              </wps:spPr>
                              <wps:txbx>
                                <w:txbxContent>
                                  <w:p>
                                    <w:pPr>
                                      <w:jc w:val="center"/>
                                      <w:rPr>
                                        <w:sz w:val="30"/>
                                        <w:szCs w:val="30"/>
                                      </w:rPr>
                                    </w:pPr>
                                    <w:bookmarkStart w:id="4" w:name="doctype"/>
                                    <w:r>
                                      <w:rPr>
                                        <w:rFonts w:hint="eastAsia" w:ascii="宋体" w:hAnsi="宋体"/>
                                        <w:color w:val="000000"/>
                                        <w:sz w:val="30"/>
                                        <w:szCs w:val="30"/>
                                        <w:lang w:eastAsia="zh-CN"/>
                                      </w:rPr>
                                      <w:t>通知</w:t>
                                    </w:r>
                                    <w:bookmarkEnd w:id="4"/>
                                  </w:p>
                                </w:txbxContent>
                              </wps:txbx>
                              <wps:bodyPr rot="0" vert="horz" wrap="square" lIns="91440" tIns="45720" rIns="91440" bIns="45720" anchor="t" anchorCtr="0" upright="1">
                                <a:noAutofit/>
                              </wps:bodyPr>
                            </wps:wsp>
                          </wpg:wgp>
                        </a:graphicData>
                      </a:graphic>
                    </wp:anchor>
                  </w:drawing>
                </mc:Choice>
                <mc:Fallback>
                  <w:pict>
                    <v:group id="Group 32" o:spid="_x0000_s1026" o:spt="203" style="position:absolute;left:0pt;margin-left:284.45pt;margin-top:76.25pt;height:65.85pt;width:109.2pt;z-index:251660288;mso-width-relative:page;mso-height-relative:page;" coordorigin="6607,2184" coordsize="2184,1317" o:gfxdata="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BU/XNLbAAAACwEAAA8AAAAA&#10;AAAAAQAgAAAAIgAAAGRycy9kb3ducmV2LnhtbFBLAQIUABQAAAAIAIdO4kBxJvyQvAIAAM8HAAAO&#10;AAAAAAAAAAEAIAAAACoBAABkcnMvZTJvRG9jLnhtbFBLBQYAAAAABgAGAFkBAABYBgAAAAA=&#10;">
                      <o:lock v:ext="edit" aspectratio="f"/>
                      <v:shape id="文本框 2" o:spid="_x0000_s1026" o:spt="202" type="#_x0000_t202" style="position:absolute;left:6607;top:2184;height:1155;width:2154;"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rFonts w:hint="default" w:ascii="宋体" w:hAnsi="宋体"/>
                                  <w:color w:val="000000"/>
                                  <w:sz w:val="30"/>
                                  <w:szCs w:val="30"/>
                                  <w:lang w:eastAsia="zh-CN"/>
                                </w:rPr>
                              </w:pPr>
                              <w:bookmarkStart w:id="3" w:name="xmusendunit"/>
                              <w:r>
                                <w:rPr>
                                  <w:rFonts w:hint="default" w:ascii="宋体" w:hAnsi="宋体"/>
                                  <w:color w:val="000000"/>
                                  <w:sz w:val="30"/>
                                  <w:szCs w:val="30"/>
                                  <w:lang w:eastAsia="zh-CN"/>
                                </w:rPr>
                                <w:t>资产与后勤</w:t>
                              </w:r>
                            </w:p>
                            <w:p>
                              <w:pPr>
                                <w:jc w:val="center"/>
                                <w:rPr>
                                  <w:sz w:val="30"/>
                                  <w:szCs w:val="30"/>
                                </w:rPr>
                              </w:pPr>
                              <w:r>
                                <w:rPr>
                                  <w:rFonts w:hint="default" w:ascii="宋体" w:hAnsi="宋体"/>
                                  <w:color w:val="000000"/>
                                  <w:sz w:val="30"/>
                                  <w:szCs w:val="30"/>
                                  <w:lang w:eastAsia="zh-CN"/>
                                </w:rPr>
                                <w:t>事务管理处</w:t>
                              </w:r>
                              <w:bookmarkEnd w:id="3"/>
                            </w:p>
                          </w:txbxContent>
                        </v:textbox>
                      </v:shape>
                      <v:shape id="文本框 2" o:spid="_x0000_s1026" o:spt="202" type="#_x0000_t202" style="position:absolute;left:6637;top:2991;height:510;width:2154;"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center"/>
                                <w:rPr>
                                  <w:sz w:val="30"/>
                                  <w:szCs w:val="30"/>
                                </w:rPr>
                              </w:pPr>
                              <w:bookmarkStart w:id="4" w:name="doctype"/>
                              <w:r>
                                <w:rPr>
                                  <w:rFonts w:hint="eastAsia" w:ascii="宋体" w:hAnsi="宋体"/>
                                  <w:color w:val="000000"/>
                                  <w:sz w:val="30"/>
                                  <w:szCs w:val="30"/>
                                  <w:lang w:eastAsia="zh-CN"/>
                                </w:rPr>
                                <w:t>通知</w:t>
                              </w:r>
                              <w:bookmarkEnd w:id="4"/>
                            </w:p>
                          </w:txbxContent>
                        </v:textbox>
                      </v:shape>
                    </v:group>
                  </w:pict>
                </mc:Fallback>
              </mc:AlternateContent>
            </w:r>
          </w:p>
        </w:tc>
      </w:tr>
      <w:tr>
        <w:tblPrEx>
          <w:tblCellMar>
            <w:top w:w="0" w:type="dxa"/>
            <w:left w:w="108" w:type="dxa"/>
            <w:bottom w:w="0" w:type="dxa"/>
            <w:right w:w="108" w:type="dxa"/>
          </w:tblCellMar>
        </w:tblPrEx>
        <w:trPr>
          <w:trHeight w:val="1134" w:hRule="atLeast"/>
          <w:jc w:val="center"/>
        </w:trPr>
        <w:tc>
          <w:tcPr>
            <w:tcW w:w="1263"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厦</w:t>
            </w:r>
          </w:p>
        </w:tc>
        <w:tc>
          <w:tcPr>
            <w:tcW w:w="1264"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门</w:t>
            </w:r>
          </w:p>
        </w:tc>
        <w:tc>
          <w:tcPr>
            <w:tcW w:w="1263"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大</w:t>
            </w:r>
          </w:p>
        </w:tc>
        <w:tc>
          <w:tcPr>
            <w:tcW w:w="1264" w:type="dxa"/>
            <w:shd w:val="clear" w:color="auto" w:fill="auto"/>
            <w:vAlign w:val="center"/>
          </w:tcPr>
          <w:p>
            <w:pPr>
              <w:snapToGrid w:val="0"/>
              <w:jc w:val="center"/>
              <w:rPr>
                <w:rFonts w:hint="eastAsia" w:eastAsia="方正小标宋简体"/>
                <w:color w:val="FF0000"/>
                <w:spacing w:val="20"/>
                <w:sz w:val="72"/>
                <w:szCs w:val="72"/>
              </w:rPr>
            </w:pPr>
            <w:r>
              <w:rPr>
                <w:rFonts w:hint="eastAsia" w:eastAsia="方正小标宋简体"/>
                <w:color w:val="FF0000"/>
                <w:spacing w:val="20"/>
                <w:sz w:val="84"/>
                <w:szCs w:val="84"/>
              </w:rPr>
              <w:t>学</w:t>
            </w:r>
          </w:p>
        </w:tc>
        <w:tc>
          <w:tcPr>
            <w:tcW w:w="1263" w:type="dxa"/>
            <w:shd w:val="clear" w:color="auto" w:fill="auto"/>
            <w:vAlign w:val="center"/>
          </w:tcPr>
          <w:p>
            <w:pPr>
              <w:snapToGrid w:val="0"/>
              <w:jc w:val="left"/>
              <w:rPr>
                <w:rFonts w:hint="eastAsia" w:eastAsia="方正小标宋简体"/>
                <w:color w:val="FF0000"/>
                <w:spacing w:val="20"/>
                <w:sz w:val="72"/>
                <w:szCs w:val="72"/>
              </w:rPr>
            </w:pPr>
            <w:r>
              <w:rPr>
                <w:rFonts w:hint="eastAsia" w:eastAsia="方正小标宋简体"/>
                <w:color w:val="FF0000"/>
                <w:spacing w:val="20"/>
                <w:sz w:val="84"/>
                <w:szCs w:val="84"/>
              </w:rPr>
              <w:t>（</w:t>
            </w:r>
          </w:p>
        </w:tc>
        <w:tc>
          <w:tcPr>
            <w:tcW w:w="1264" w:type="dxa"/>
            <w:shd w:val="clear" w:color="auto" w:fill="auto"/>
            <w:vAlign w:val="center"/>
          </w:tcPr>
          <w:p>
            <w:pPr>
              <w:snapToGrid w:val="0"/>
              <w:jc w:val="center"/>
              <w:rPr>
                <w:rFonts w:hint="eastAsia" w:eastAsia="方正小标宋简体"/>
                <w:color w:val="FF0000"/>
                <w:spacing w:val="20"/>
                <w:sz w:val="72"/>
                <w:szCs w:val="72"/>
              </w:rPr>
            </w:pPr>
          </w:p>
        </w:tc>
        <w:tc>
          <w:tcPr>
            <w:tcW w:w="1264" w:type="dxa"/>
            <w:shd w:val="clear" w:color="auto" w:fill="auto"/>
            <w:vAlign w:val="center"/>
          </w:tcPr>
          <w:p>
            <w:pPr>
              <w:snapToGrid w:val="0"/>
              <w:jc w:val="right"/>
              <w:rPr>
                <w:rFonts w:hint="eastAsia" w:eastAsia="方正小标宋简体"/>
                <w:color w:val="FF0000"/>
                <w:spacing w:val="20"/>
                <w:sz w:val="72"/>
                <w:szCs w:val="72"/>
              </w:rPr>
            </w:pPr>
            <w:r>
              <w:rPr>
                <w:rFonts w:hint="eastAsia" w:eastAsia="方正小标宋简体"/>
                <w:color w:val="FF0000"/>
                <w:spacing w:val="20"/>
                <w:sz w:val="84"/>
                <w:szCs w:val="84"/>
              </w:rPr>
              <w:t>）</w:t>
            </w:r>
          </w:p>
        </w:tc>
      </w:tr>
      <w:tr>
        <w:tblPrEx>
          <w:tblCellMar>
            <w:top w:w="0" w:type="dxa"/>
            <w:left w:w="108" w:type="dxa"/>
            <w:bottom w:w="0" w:type="dxa"/>
            <w:right w:w="108" w:type="dxa"/>
          </w:tblCellMar>
        </w:tblPrEx>
        <w:trPr>
          <w:trHeight w:val="1134" w:hRule="atLeast"/>
          <w:jc w:val="center"/>
        </w:trPr>
        <w:tc>
          <w:tcPr>
            <w:tcW w:w="8845" w:type="dxa"/>
            <w:gridSpan w:val="7"/>
            <w:shd w:val="clear" w:color="auto" w:fill="auto"/>
            <w:vAlign w:val="bottom"/>
          </w:tcPr>
          <w:p>
            <w:pPr>
              <w:snapToGrid w:val="0"/>
              <w:spacing w:line="560" w:lineRule="exact"/>
              <w:jc w:val="center"/>
              <w:rPr>
                <w:rFonts w:hint="eastAsia" w:ascii="Bookman Old Style" w:hAnsi="Bookman Old Style"/>
                <w:b/>
                <w:color w:val="FF0000"/>
                <w:spacing w:val="50"/>
                <w:w w:val="90"/>
                <w:sz w:val="44"/>
              </w:rPr>
            </w:pPr>
            <w:bookmarkStart w:id="0" w:name="docnum"/>
            <w:r>
              <w:rPr>
                <w:rFonts w:hint="default" w:ascii="Times New Roman" w:hAnsi="Times New Roman" w:eastAsia="仿宋"/>
                <w:sz w:val="32"/>
                <w:lang w:eastAsia="zh-CN"/>
              </w:rPr>
              <w:t>（2025）厦大资产1号</w:t>
            </w:r>
            <w:bookmarkEnd w:id="0"/>
          </w:p>
        </w:tc>
      </w:tr>
      <w:tr>
        <w:tblPrEx>
          <w:tblCellMar>
            <w:top w:w="0" w:type="dxa"/>
            <w:left w:w="108" w:type="dxa"/>
            <w:bottom w:w="0" w:type="dxa"/>
            <w:right w:w="108" w:type="dxa"/>
          </w:tblCellMar>
        </w:tblPrEx>
        <w:trPr>
          <w:trHeight w:val="567" w:hRule="atLeast"/>
          <w:jc w:val="center"/>
        </w:trPr>
        <w:tc>
          <w:tcPr>
            <w:tcW w:w="8845" w:type="dxa"/>
            <w:gridSpan w:val="7"/>
            <w:shd w:val="clear" w:color="auto" w:fill="auto"/>
          </w:tcPr>
          <w:p>
            <w:pPr>
              <w:jc w:val="center"/>
              <w:rPr>
                <w:rFonts w:hint="eastAsia" w:ascii="Bookman Old Style" w:hAnsi="Bookman Old Style"/>
                <w:b/>
                <w:color w:val="FF0000"/>
                <w:spacing w:val="50"/>
                <w:w w:val="90"/>
                <w:sz w:val="44"/>
                <w:szCs w:val="44"/>
              </w:rPr>
            </w:pPr>
            <w:r>
              <w:rPr>
                <w:rFonts w:hint="eastAsia" w:ascii="仿宋" w:hAnsi="仿宋" w:eastAsia="仿宋"/>
                <w:sz w:val="44"/>
                <w:szCs w:val="44"/>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146050</wp:posOffset>
                      </wp:positionV>
                      <wp:extent cx="5615940" cy="0"/>
                      <wp:effectExtent l="13335" t="10160" r="9525" b="18415"/>
                      <wp:wrapNone/>
                      <wp:docPr id="2" name="AutoShape 1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ln>
                            </wps:spPr>
                            <wps:bodyPr/>
                          </wps:wsp>
                        </a:graphicData>
                      </a:graphic>
                    </wp:anchor>
                  </w:drawing>
                </mc:Choice>
                <mc:Fallback>
                  <w:pict>
                    <v:shape id="AutoShape 12" o:spid="_x0000_s1026" o:spt="32" type="#_x0000_t32" style="position:absolute;left:0pt;margin-left:-2.7pt;margin-top:11.5pt;height:0pt;width:442.2pt;z-index:251660288;mso-width-relative:page;mso-height-relative:page;" filled="f" stroked="t" coordsize="21600,21600" o:gfxdata="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6wlrG1gAAAAgBAAAPAAAAAAAAAAEA&#10;IAAAACIAAABkcnMvZG93bnJldi54bWxQSwECFAAUAAAACACHTuJAei2fzdgBAAC0AwAADgAAAAAA&#10;AAABACAAAAAlAQAAZHJzL2Uyb0RvYy54bWxQSwUGAAAAAAYABgBZAQAAbwUAAAAA&#10;">
                      <v:fill on="f" focussize="0,0"/>
                      <v:stroke weight="1.5pt" color="#FF0000" joinstyle="round"/>
                      <v:imagedata o:title=""/>
                      <o:lock v:ext="edit" aspectratio="f"/>
                    </v:shape>
                  </w:pict>
                </mc:Fallback>
              </mc:AlternateContent>
            </w:r>
          </w:p>
        </w:tc>
      </w:tr>
    </w:tbl>
    <w:p>
      <w:pPr>
        <w:widowControl/>
        <w:adjustRightInd w:val="0"/>
        <w:contextualSpacing/>
        <w:rPr>
          <w:rFonts w:ascii="仿宋" w:hAnsi="仿宋" w:eastAsia="仿宋"/>
          <w:sz w:val="32"/>
          <w:szCs w:val="30"/>
        </w:rPr>
      </w:pPr>
    </w:p>
    <w:p>
      <w:pPr>
        <w:keepNext w:val="0"/>
        <w:keepLines w:val="0"/>
        <w:widowControl/>
        <w:suppressLineNumbers w:val="0"/>
        <w:shd w:val="clear" w:fill="FFFFFF"/>
        <w:spacing w:before="0" w:beforeAutospacing="0" w:after="0" w:afterAutospacing="0" w:line="560" w:lineRule="exact"/>
        <w:ind w:left="0" w:right="0"/>
        <w:jc w:val="center"/>
        <w:outlineLvl w:val="0"/>
        <w:rPr>
          <w:rFonts w:hint="eastAsia" w:ascii="Times New Roman" w:hAnsi="Times New Roman" w:eastAsia="方正小标宋简体" w:cs="Times New Roman"/>
          <w:bCs/>
          <w:kern w:val="36"/>
          <w:sz w:val="44"/>
          <w:szCs w:val="44"/>
          <w:shd w:val="clear" w:fill="FFFFFF"/>
          <w:lang w:val="en-US" w:eastAsia="zh-CN" w:bidi="ar"/>
        </w:rPr>
      </w:pPr>
      <w:bookmarkStart w:id="1" w:name="OLE_LINK1"/>
      <w:bookmarkStart w:id="2" w:name="redhead"/>
      <w:r>
        <w:rPr>
          <w:rFonts w:hint="eastAsia" w:ascii="Times New Roman" w:hAnsi="Times New Roman" w:eastAsia="方正小标宋简体" w:cs="Times New Roman"/>
          <w:bCs/>
          <w:kern w:val="36"/>
          <w:sz w:val="44"/>
          <w:szCs w:val="44"/>
          <w:shd w:val="clear" w:fill="FFFFFF"/>
          <w:lang w:val="en-US" w:eastAsia="zh-CN" w:bidi="ar"/>
        </w:rPr>
        <w:t>关于印发《厦门大学固定资产报废处置</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方正小标宋简体" w:cs="Times New Roman"/>
          <w:bCs/>
          <w:kern w:val="36"/>
          <w:sz w:val="44"/>
          <w:szCs w:val="44"/>
          <w:shd w:val="clear" w:fill="FFFFFF"/>
          <w:lang w:val="en-US"/>
        </w:rPr>
      </w:pPr>
      <w:r>
        <w:rPr>
          <w:rFonts w:hint="eastAsia" w:ascii="Times New Roman" w:hAnsi="Times New Roman" w:eastAsia="方正小标宋简体" w:cs="Times New Roman"/>
          <w:bCs/>
          <w:kern w:val="36"/>
          <w:sz w:val="44"/>
          <w:szCs w:val="44"/>
          <w:shd w:val="clear" w:fill="FFFFFF"/>
          <w:lang w:val="en-US" w:eastAsia="zh-CN" w:bidi="ar"/>
        </w:rPr>
        <w:t>工作实施细则》的通知</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仿宋" w:cs="Times New Roman"/>
          <w:b/>
          <w:bCs/>
          <w:kern w:val="36"/>
          <w:sz w:val="32"/>
          <w:szCs w:val="32"/>
          <w:shd w:val="clear" w:fill="FFFFFF"/>
          <w:lang w:val="en-US"/>
        </w:rPr>
      </w:pPr>
    </w:p>
    <w:p>
      <w:pPr>
        <w:keepNext w:val="0"/>
        <w:keepLines w:val="0"/>
        <w:widowControl w:val="0"/>
        <w:suppressLineNumbers w:val="0"/>
        <w:spacing w:before="0" w:beforeAutospacing="0" w:after="0" w:afterAutospacing="0" w:line="560" w:lineRule="exact"/>
        <w:ind w:left="0" w:right="0"/>
        <w:jc w:val="left"/>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全校各单位：</w:t>
      </w:r>
    </w:p>
    <w:p>
      <w:pPr>
        <w:keepNext w:val="0"/>
        <w:keepLines w:val="0"/>
        <w:widowControl w:val="0"/>
        <w:suppressLineNumbers w:val="0"/>
        <w:spacing w:before="0" w:beforeAutospacing="0" w:after="0" w:afterAutospacing="0" w:line="560" w:lineRule="exact"/>
        <w:ind w:left="0" w:right="0" w:firstLine="645"/>
        <w:jc w:val="left"/>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现将《厦门大学固定资产报废处置工作实施细则》印发给你们，请遵照执行。</w:t>
      </w:r>
    </w:p>
    <w:p>
      <w:pPr>
        <w:keepNext w:val="0"/>
        <w:keepLines w:val="0"/>
        <w:widowControl w:val="0"/>
        <w:suppressLineNumbers w:val="0"/>
        <w:spacing w:before="0" w:beforeAutospacing="0" w:after="0" w:afterAutospacing="0" w:line="560" w:lineRule="exact"/>
        <w:ind w:left="0" w:right="0" w:firstLine="645"/>
        <w:jc w:val="left"/>
        <w:rPr>
          <w:rFonts w:hint="default" w:ascii="Times New Roman" w:hAnsi="Times New Roman" w:eastAsia="仿宋" w:cs="Times New Roman"/>
          <w:sz w:val="32"/>
          <w:szCs w:val="32"/>
          <w:lang w:val="en-US"/>
        </w:rPr>
      </w:pPr>
    </w:p>
    <w:p>
      <w:pPr>
        <w:keepNext w:val="0"/>
        <w:keepLines w:val="0"/>
        <w:widowControl w:val="0"/>
        <w:suppressLineNumbers w:val="0"/>
        <w:spacing w:before="0" w:beforeAutospacing="0" w:after="0" w:afterAutospacing="0" w:line="560" w:lineRule="exact"/>
        <w:ind w:left="0" w:right="0" w:firstLine="645"/>
        <w:jc w:val="left"/>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附件：厦门大学固定资产报废处置工作实施细则</w:t>
      </w:r>
    </w:p>
    <w:p>
      <w:pPr>
        <w:keepNext w:val="0"/>
        <w:keepLines w:val="0"/>
        <w:widowControl w:val="0"/>
        <w:suppressLineNumbers w:val="0"/>
        <w:spacing w:before="0" w:beforeAutospacing="0" w:after="0" w:afterAutospacing="0" w:line="560" w:lineRule="exact"/>
        <w:ind w:left="0" w:right="0" w:firstLine="645"/>
        <w:jc w:val="left"/>
        <w:rPr>
          <w:rFonts w:hint="default" w:ascii="Times New Roman" w:hAnsi="Times New Roman" w:eastAsia="仿宋" w:cs="Times New Roman"/>
          <w:sz w:val="32"/>
          <w:szCs w:val="32"/>
          <w:lang w:val="en-US"/>
        </w:rPr>
      </w:pPr>
    </w:p>
    <w:p>
      <w:pPr>
        <w:keepNext w:val="0"/>
        <w:keepLines w:val="0"/>
        <w:widowControl w:val="0"/>
        <w:suppressLineNumbers w:val="0"/>
        <w:spacing w:before="0" w:beforeAutospacing="0" w:after="0" w:afterAutospacing="0" w:line="560" w:lineRule="exact"/>
        <w:ind w:left="0" w:right="640" w:firstLine="645"/>
        <w:jc w:val="right"/>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资产与后勤事务管理处</w:t>
      </w:r>
    </w:p>
    <w:p>
      <w:pPr>
        <w:keepNext w:val="0"/>
        <w:keepLines w:val="0"/>
        <w:widowControl/>
        <w:suppressLineNumbers w:val="0"/>
        <w:shd w:val="clear" w:fill="FFFFFF"/>
        <w:spacing w:before="0" w:beforeAutospacing="0" w:after="0" w:afterAutospacing="0" w:line="560" w:lineRule="exact"/>
        <w:ind w:left="0" w:right="960"/>
        <w:jc w:val="right"/>
        <w:outlineLvl w:val="0"/>
        <w:rPr>
          <w:rFonts w:hint="default" w:ascii="Times New Roman" w:hAnsi="Times New Roman" w:eastAsia="仿宋" w:cs="Times New Roman"/>
          <w:b/>
          <w:bCs/>
          <w:kern w:val="36"/>
          <w:sz w:val="32"/>
          <w:szCs w:val="32"/>
          <w:shd w:val="clear" w:fill="FFFFFF"/>
          <w:lang w:val="en-US"/>
        </w:rPr>
      </w:pPr>
      <w:r>
        <w:rPr>
          <w:rFonts w:hint="default" w:ascii="Times New Roman" w:hAnsi="Times New Roman" w:eastAsia="仿宋" w:cs="Times New Roman"/>
          <w:kern w:val="2"/>
          <w:sz w:val="32"/>
          <w:szCs w:val="32"/>
          <w:shd w:val="clear" w:fill="FFFFFF"/>
          <w:lang w:val="en-US" w:eastAsia="zh-CN" w:bidi="ar"/>
        </w:rPr>
        <w:t>2025年3月13日</w:t>
      </w: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仿宋" w:cs="Times New Roman"/>
          <w:b/>
          <w:bCs/>
          <w:kern w:val="36"/>
          <w:sz w:val="32"/>
          <w:szCs w:val="32"/>
          <w:shd w:val="clear" w:fill="FFFFFF"/>
          <w:lang w:val="en-US"/>
        </w:rPr>
      </w:pP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仿宋" w:cs="Times New Roman"/>
          <w:b/>
          <w:bCs/>
          <w:kern w:val="36"/>
          <w:sz w:val="32"/>
          <w:szCs w:val="32"/>
          <w:shd w:val="clear" w:fill="FFFFFF"/>
          <w:lang w:val="en-US"/>
        </w:rPr>
      </w:pPr>
    </w:p>
    <w:p>
      <w:pPr>
        <w:keepNext w:val="0"/>
        <w:keepLines w:val="0"/>
        <w:widowControl/>
        <w:suppressLineNumbers w:val="0"/>
        <w:shd w:val="clear" w:fill="FFFFFF"/>
        <w:spacing w:before="0" w:beforeAutospacing="0" w:after="0" w:afterAutospacing="0" w:line="560" w:lineRule="exact"/>
        <w:ind w:left="0" w:right="0"/>
        <w:jc w:val="center"/>
        <w:outlineLvl w:val="0"/>
        <w:rPr>
          <w:rFonts w:hint="default" w:ascii="Times New Roman" w:hAnsi="Times New Roman" w:eastAsia="方正小标宋简体" w:cs="Times New Roman"/>
          <w:bCs/>
          <w:kern w:val="36"/>
          <w:sz w:val="44"/>
          <w:szCs w:val="44"/>
          <w:shd w:val="clear" w:fill="FFFFFF"/>
          <w:lang w:val="en-US"/>
        </w:rPr>
      </w:pPr>
      <w:r>
        <w:rPr>
          <w:rFonts w:hint="eastAsia" w:ascii="Times New Roman" w:hAnsi="Times New Roman" w:eastAsia="方正小标宋简体" w:cs="Times New Roman"/>
          <w:bCs/>
          <w:kern w:val="36"/>
          <w:sz w:val="44"/>
          <w:szCs w:val="44"/>
          <w:shd w:val="clear" w:fill="FFFFFF"/>
          <w:lang w:val="en-US" w:eastAsia="zh-CN" w:bidi="ar"/>
        </w:rPr>
        <w:t>厦门大学固定资产报废处置工作实施细则</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b/>
          <w:bCs w:val="0"/>
          <w:sz w:val="32"/>
          <w:szCs w:val="32"/>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第一条</w:t>
      </w:r>
      <w:r>
        <w:rPr>
          <w:rFonts w:hint="default" w:ascii="Times New Roman" w:hAnsi="Times New Roman" w:eastAsia="仿宋" w:cs="Times New Roman"/>
          <w:kern w:val="2"/>
          <w:sz w:val="32"/>
          <w:szCs w:val="32"/>
          <w:lang w:val="en-US" w:eastAsia="zh-CN" w:bidi="ar"/>
        </w:rPr>
        <w:t xml:space="preserve"> 为规范学校固定资产的报废处置行为，根据《行政事业性国有资产管理条例》《中央行政事业单位国有资产处置管理办法》《教育部直属高等学校国有资产管理暂行办法》等文件要求，结合学校固定资产管理相关规定及实际情况，制定本实施细则。</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 xml:space="preserve">第二条 </w:t>
      </w:r>
      <w:r>
        <w:rPr>
          <w:rFonts w:hint="default" w:ascii="Times New Roman" w:hAnsi="Times New Roman" w:eastAsia="仿宋" w:cs="Times New Roman"/>
          <w:kern w:val="2"/>
          <w:sz w:val="32"/>
          <w:szCs w:val="32"/>
          <w:lang w:val="en-US" w:eastAsia="zh-CN" w:bidi="ar"/>
        </w:rPr>
        <w:t>本实施细则适用于学校房屋和构筑物、设备、家具和用具类固定资产的报废处置事项。</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固定资产的处置方式包括报废、无偿划转、对外捐赠、转让、置换、损失核销等。除报废以外的其他处置方式，依据财政部、教育部等上级部门相关规定及《厦门大学国有资产管理暂行办法（修订）》《厦门大学固定资产管理办法》《厦门大学固定资产盘点与赔偿实施办法》等文件执行。</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第三条</w:t>
      </w:r>
      <w:r>
        <w:rPr>
          <w:rFonts w:hint="default" w:ascii="Times New Roman" w:hAnsi="Times New Roman" w:eastAsia="仿宋" w:cs="Times New Roman"/>
          <w:kern w:val="2"/>
          <w:sz w:val="32"/>
          <w:szCs w:val="32"/>
          <w:lang w:val="en-US" w:eastAsia="zh-CN" w:bidi="ar"/>
        </w:rPr>
        <w:t xml:space="preserve"> 拟报废处置的固定资产权属应当清晰明确。权属关系不明或者存在权属纠纷的，应当按规定界定权属后处置。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 xml:space="preserve">第四条 </w:t>
      </w:r>
      <w:r>
        <w:rPr>
          <w:rFonts w:hint="default" w:ascii="Times New Roman" w:hAnsi="Times New Roman" w:eastAsia="仿宋" w:cs="Times New Roman"/>
          <w:kern w:val="2"/>
          <w:sz w:val="32"/>
          <w:szCs w:val="32"/>
          <w:lang w:val="en-US" w:eastAsia="zh-CN" w:bidi="ar"/>
        </w:rPr>
        <w:t>符合下列情形之一的固定资产，可以申请报废处置：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0"/>
          <w:sz w:val="32"/>
          <w:szCs w:val="32"/>
          <w:lang w:val="en-US" w:eastAsia="zh-CN" w:bidi="ar"/>
        </w:rPr>
        <w:t>（一）因技术原因确需淘汰或者无法维修、无维修价值；</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0"/>
          <w:sz w:val="32"/>
          <w:szCs w:val="32"/>
          <w:lang w:val="en-US" w:eastAsia="zh-CN" w:bidi="ar"/>
        </w:rPr>
        <w:t>（二）已超过使用年限且无法满足现有工作需要；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0"/>
          <w:sz w:val="32"/>
          <w:szCs w:val="32"/>
          <w:lang w:val="en-US" w:eastAsia="zh-CN" w:bidi="ar"/>
        </w:rPr>
        <w:t>（三）在安全、环保、耗能等方面不能达标，或</w:t>
      </w:r>
      <w:r>
        <w:rPr>
          <w:rFonts w:hint="default" w:ascii="Times New Roman" w:hAnsi="Times New Roman" w:eastAsia="仿宋" w:cs="Times New Roman"/>
          <w:color w:val="auto"/>
          <w:kern w:val="2"/>
          <w:sz w:val="32"/>
          <w:szCs w:val="32"/>
          <w:lang w:val="en-US" w:eastAsia="zh-CN" w:bidi="ar"/>
        </w:rPr>
        <w:t>因计量检验不合格</w:t>
      </w:r>
      <w:r>
        <w:rPr>
          <w:rFonts w:hint="default" w:ascii="Times New Roman" w:hAnsi="Times New Roman" w:eastAsia="仿宋" w:cs="Times New Roman"/>
          <w:kern w:val="0"/>
          <w:sz w:val="32"/>
          <w:szCs w:val="32"/>
          <w:lang w:val="en-US" w:eastAsia="zh-CN" w:bidi="ar"/>
        </w:rPr>
        <w:t>需要强制报废；</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kern w:val="0"/>
          <w:sz w:val="32"/>
          <w:szCs w:val="32"/>
          <w:lang w:val="en-US" w:eastAsia="zh-CN" w:bidi="ar"/>
        </w:rPr>
        <w:t>（四）因</w:t>
      </w:r>
      <w:r>
        <w:rPr>
          <w:rFonts w:hint="default" w:ascii="Times New Roman" w:hAnsi="Times New Roman" w:eastAsia="仿宋" w:cs="Times New Roman"/>
          <w:color w:val="auto"/>
          <w:kern w:val="2"/>
          <w:sz w:val="32"/>
          <w:szCs w:val="32"/>
          <w:lang w:val="en-US" w:eastAsia="zh-CN" w:bidi="ar"/>
        </w:rPr>
        <w:t>事故或者意外灾害造成严重损坏且无法修复；</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0"/>
          <w:sz w:val="32"/>
          <w:szCs w:val="32"/>
          <w:lang w:val="en-US" w:eastAsia="zh-CN" w:bidi="ar"/>
        </w:rPr>
        <w:t>（五）依照国家有关规定或者学校实际情况，需报废的其他情形。</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第五条</w:t>
      </w:r>
      <w:r>
        <w:rPr>
          <w:rFonts w:hint="default" w:ascii="Times New Roman" w:hAnsi="Times New Roman" w:eastAsia="仿宋" w:cs="Times New Roman"/>
          <w:kern w:val="2"/>
          <w:sz w:val="32"/>
          <w:szCs w:val="32"/>
          <w:lang w:val="en-US" w:eastAsia="zh-CN" w:bidi="ar"/>
        </w:rPr>
        <w:t xml:space="preserve"> 固定资产报废处置应当按照规定权限履行审批手续，任何单位或者个人未经批准不得擅自处置。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第六条</w:t>
      </w:r>
      <w:r>
        <w:rPr>
          <w:rFonts w:hint="default" w:ascii="Times New Roman" w:hAnsi="Times New Roman" w:eastAsia="仿宋" w:cs="Times New Roman"/>
          <w:kern w:val="2"/>
          <w:sz w:val="32"/>
          <w:szCs w:val="32"/>
          <w:lang w:val="en-US" w:eastAsia="zh-CN" w:bidi="ar"/>
        </w:rPr>
        <w:t xml:space="preserve"> 资产与后勤事务管理处（以下简称“资产后勤处”）为学校固定资产报废处置的归口管理部门，负责报废申请的审批、汇总及报废资产的回收、拍卖等工作。</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各使用单位负责本单位固定资产的报废申请与初步审核，以及报废后留用资产的管理。</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实验室与设备管理处（以下简称“实验处”）负责贵重仪器设备的报废论证。</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国有资产管理办公室负责固定资产报废处置的监督管理。</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b/>
          <w:bCs/>
          <w:kern w:val="0"/>
          <w:sz w:val="32"/>
          <w:szCs w:val="32"/>
          <w:lang w:val="en-US" w:eastAsia="zh-CN" w:bidi="ar"/>
        </w:rPr>
        <w:t>第七条</w:t>
      </w:r>
      <w:r>
        <w:rPr>
          <w:rFonts w:hint="default" w:ascii="Times New Roman" w:hAnsi="Times New Roman" w:eastAsia="仿宋" w:cs="Times New Roman"/>
          <w:kern w:val="0"/>
          <w:sz w:val="32"/>
          <w:szCs w:val="32"/>
          <w:lang w:val="en-US" w:eastAsia="zh-CN" w:bidi="ar"/>
        </w:rPr>
        <w:t xml:space="preserve"> 房屋和构筑物类固定资产的报废处置由资产后勤处统一办理相关申报、审批及处置手续，使用单位不得擅自拆除。</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b/>
          <w:bCs w:val="0"/>
          <w:sz w:val="32"/>
          <w:szCs w:val="32"/>
          <w:lang w:val="en-US"/>
        </w:rPr>
      </w:pPr>
      <w:r>
        <w:rPr>
          <w:rFonts w:hint="default" w:ascii="Times New Roman" w:hAnsi="Times New Roman" w:eastAsia="仿宋" w:cs="Times New Roman"/>
          <w:b/>
          <w:bCs w:val="0"/>
          <w:kern w:val="2"/>
          <w:sz w:val="32"/>
          <w:szCs w:val="32"/>
          <w:lang w:val="en-US" w:eastAsia="zh-CN" w:bidi="ar"/>
        </w:rPr>
        <w:t>第八条</w:t>
      </w:r>
      <w:r>
        <w:rPr>
          <w:rFonts w:hint="default" w:ascii="Times New Roman" w:hAnsi="Times New Roman" w:eastAsia="仿宋" w:cs="Times New Roman"/>
          <w:kern w:val="2"/>
          <w:sz w:val="32"/>
          <w:szCs w:val="32"/>
          <w:lang w:val="en-US" w:eastAsia="zh-CN" w:bidi="ar"/>
        </w:rPr>
        <w:t xml:space="preserve"> 设备、家具类固定资产的报废处置由使用单位通过</w:t>
      </w:r>
      <w:r>
        <w:rPr>
          <w:rFonts w:hint="default" w:ascii="Times New Roman" w:hAnsi="Times New Roman" w:eastAsia="仿宋" w:cs="Times New Roman"/>
          <w:kern w:val="0"/>
          <w:sz w:val="32"/>
          <w:szCs w:val="32"/>
          <w:lang w:val="en-US" w:eastAsia="zh-CN" w:bidi="ar"/>
        </w:rPr>
        <w:t>“厦门大学采购与资产一体化服务平台</w:t>
      </w:r>
      <w:r>
        <w:rPr>
          <w:rFonts w:hint="default" w:ascii="Times New Roman" w:hAnsi="Times New Roman" w:eastAsia="仿宋" w:cs="Times New Roman"/>
          <w:kern w:val="2"/>
          <w:sz w:val="32"/>
          <w:szCs w:val="32"/>
          <w:lang w:val="en-US" w:eastAsia="zh-CN" w:bidi="ar"/>
        </w:rPr>
        <w:t>”（以下简称“采资平台”）办理相关手续。</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kern w:val="2"/>
          <w:sz w:val="32"/>
          <w:szCs w:val="32"/>
          <w:lang w:val="en-US" w:eastAsia="zh-CN" w:bidi="ar"/>
        </w:rPr>
        <w:t>单位价值不满10万元的设备、家具类固定资产，使用单位通过采资平台提交报废申请并附《厦门大学仪器设备报废技术鉴定表》，经本单位分管领导审核后报资产后勤处审批。</w:t>
      </w:r>
    </w:p>
    <w:p>
      <w:pPr>
        <w:keepNext w:val="0"/>
        <w:keepLines w:val="0"/>
        <w:widowControl w:val="0"/>
        <w:suppressLineNumbers w:val="0"/>
        <w:spacing w:before="0" w:beforeAutospacing="0" w:after="0" w:afterAutospacing="0" w:line="560" w:lineRule="exact"/>
        <w:ind w:left="0" w:right="0" w:firstLine="627" w:firstLineChars="196"/>
        <w:jc w:val="both"/>
        <w:rPr>
          <w:rFonts w:hint="default" w:ascii="Times New Roman" w:hAnsi="Times New Roman" w:eastAsia="仿宋" w:cs="Times New Roman"/>
          <w:sz w:val="32"/>
          <w:szCs w:val="32"/>
          <w:lang w:val="en-US"/>
        </w:rPr>
      </w:pPr>
      <w:r>
        <w:rPr>
          <w:rFonts w:hint="default" w:ascii="Times New Roman" w:hAnsi="Times New Roman" w:eastAsia="仿宋" w:cs="Times New Roman"/>
          <w:kern w:val="2"/>
          <w:sz w:val="32"/>
          <w:szCs w:val="32"/>
          <w:lang w:val="en-US" w:eastAsia="zh-CN" w:bidi="ar"/>
        </w:rPr>
        <w:t>单位价值10万元以上（含）的设备类固定资产，使用单位通过采资平台提交报废论证申请，经本单位分管领导审核后报实验处、资产后勤处审批。</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b/>
          <w:bCs w:val="0"/>
          <w:kern w:val="2"/>
          <w:sz w:val="32"/>
          <w:szCs w:val="32"/>
          <w:lang w:val="en-US" w:eastAsia="zh-CN" w:bidi="ar"/>
        </w:rPr>
        <w:t>第九条</w:t>
      </w:r>
      <w:r>
        <w:rPr>
          <w:rFonts w:hint="default" w:ascii="Times New Roman" w:hAnsi="Times New Roman" w:eastAsia="仿宋" w:cs="Times New Roman"/>
          <w:kern w:val="2"/>
          <w:sz w:val="32"/>
          <w:szCs w:val="32"/>
          <w:lang w:val="en-US" w:eastAsia="zh-CN" w:bidi="ar"/>
        </w:rPr>
        <w:t xml:space="preserve"> 单位价值10万元以上（含）且</w:t>
      </w:r>
      <w:r>
        <w:rPr>
          <w:rFonts w:hint="default" w:ascii="Times New Roman" w:hAnsi="Times New Roman" w:eastAsia="仿宋" w:cs="Times New Roman"/>
          <w:color w:val="auto"/>
          <w:kern w:val="2"/>
          <w:sz w:val="32"/>
          <w:szCs w:val="32"/>
          <w:lang w:val="en-US" w:eastAsia="zh-CN" w:bidi="ar"/>
        </w:rPr>
        <w:t>符合报废条件的整台设备，若可降级使用，应当优先进行共享调剂或者调拨。无法继续使用但具有展示或者学习价值的设备，使用单位可申请报废后留用。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kern w:val="2"/>
          <w:sz w:val="32"/>
          <w:szCs w:val="32"/>
          <w:lang w:val="en-US" w:eastAsia="zh-CN" w:bidi="ar"/>
        </w:rPr>
        <w:t>拟报废后留用的设备，使用单位应当按照学校《关于加强报废后留用设备管理的通知》的要求提出申请，经学校批准后留用。</w:t>
      </w:r>
    </w:p>
    <w:p>
      <w:pPr>
        <w:keepNext w:val="0"/>
        <w:keepLines w:val="0"/>
        <w:widowControl w:val="0"/>
        <w:suppressLineNumbers w:val="0"/>
        <w:autoSpaceDE w:val="0"/>
        <w:autoSpaceDN w:val="0"/>
        <w:adjustRightInd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lang w:val="en-US"/>
        </w:rPr>
      </w:pPr>
      <w:r>
        <w:rPr>
          <w:rFonts w:hint="default" w:ascii="Times New Roman" w:hAnsi="Times New Roman" w:eastAsia="仿宋" w:cs="Times New Roman"/>
          <w:b/>
          <w:bCs w:val="0"/>
          <w:kern w:val="2"/>
          <w:sz w:val="32"/>
          <w:szCs w:val="32"/>
          <w:lang w:val="en-US" w:eastAsia="zh-CN" w:bidi="ar"/>
        </w:rPr>
        <w:t>第十条</w:t>
      </w:r>
      <w:r>
        <w:rPr>
          <w:rFonts w:hint="default" w:ascii="Times New Roman" w:hAnsi="Times New Roman" w:eastAsia="仿宋" w:cs="Times New Roman"/>
          <w:kern w:val="2"/>
          <w:sz w:val="32"/>
          <w:szCs w:val="32"/>
          <w:lang w:val="en-US" w:eastAsia="zh-CN" w:bidi="ar"/>
        </w:rPr>
        <w:t xml:space="preserve"> 经学校批准报废的设备和家具，使用单位应当在保持实物相对完整的前提下拆卸成可搬移状态，并集中放置、妥善保管，由资产后勤处组织清点、回收或现场处置。任何单位或者个人不得擅自处置。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sz w:val="32"/>
          <w:szCs w:val="32"/>
          <w:highlight w:val="yellow"/>
          <w:lang w:val="en-US"/>
        </w:rPr>
      </w:pPr>
      <w:r>
        <w:rPr>
          <w:rFonts w:hint="default" w:ascii="Times New Roman" w:hAnsi="Times New Roman" w:eastAsia="仿宋" w:cs="Times New Roman"/>
          <w:b/>
          <w:bCs/>
          <w:kern w:val="0"/>
          <w:sz w:val="32"/>
          <w:szCs w:val="32"/>
          <w:lang w:val="en-US" w:eastAsia="zh-CN" w:bidi="ar"/>
        </w:rPr>
        <w:t>第十一条</w:t>
      </w:r>
      <w:r>
        <w:rPr>
          <w:rFonts w:hint="default" w:ascii="Times New Roman" w:hAnsi="Times New Roman" w:eastAsia="仿宋" w:cs="Times New Roman"/>
          <w:bCs/>
          <w:kern w:val="0"/>
          <w:sz w:val="32"/>
          <w:szCs w:val="32"/>
          <w:lang w:val="en-US" w:eastAsia="zh-CN" w:bidi="ar"/>
        </w:rPr>
        <w:t xml:space="preserve"> </w:t>
      </w:r>
      <w:r>
        <w:rPr>
          <w:rFonts w:hint="default" w:ascii="Times New Roman" w:hAnsi="Times New Roman" w:eastAsia="仿宋" w:cs="Times New Roman"/>
          <w:kern w:val="2"/>
          <w:sz w:val="32"/>
          <w:szCs w:val="32"/>
          <w:lang w:val="en-US" w:eastAsia="zh-CN" w:bidi="ar"/>
        </w:rPr>
        <w:t>经学校批准报废的涉密装置、涉辐射装置，以及</w:t>
      </w:r>
      <w:r>
        <w:rPr>
          <w:rFonts w:hint="default" w:ascii="Times New Roman" w:hAnsi="Times New Roman" w:eastAsia="仿宋" w:cs="Times New Roman"/>
          <w:bCs/>
          <w:kern w:val="0"/>
          <w:sz w:val="32"/>
          <w:szCs w:val="32"/>
          <w:lang w:val="en-US" w:eastAsia="zh-CN" w:bidi="ar"/>
        </w:rPr>
        <w:t>电梯、锅炉、压力容器、起重机械等特种设备，其实物处置务必严格按照国家或者地方行业部门的相关规定执行。使用单位在提交报废申请时，应通过采资平台</w:t>
      </w:r>
      <w:r>
        <w:rPr>
          <w:rFonts w:hint="default" w:ascii="Times New Roman" w:hAnsi="Times New Roman" w:eastAsia="仿宋" w:cs="Times New Roman"/>
          <w:kern w:val="2"/>
          <w:sz w:val="32"/>
          <w:szCs w:val="32"/>
          <w:lang w:val="en-US" w:eastAsia="zh-CN" w:bidi="ar"/>
        </w:rPr>
        <w:t>上传向行业主管部门提交的申请备案回执等相关凭据。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bCs/>
          <w:kern w:val="0"/>
          <w:sz w:val="32"/>
          <w:szCs w:val="32"/>
          <w:lang w:val="en-US"/>
        </w:rPr>
      </w:pPr>
      <w:r>
        <w:rPr>
          <w:rFonts w:hint="default" w:ascii="Times New Roman" w:hAnsi="Times New Roman" w:eastAsia="仿宋" w:cs="Times New Roman"/>
          <w:b/>
          <w:bCs/>
          <w:kern w:val="0"/>
          <w:sz w:val="32"/>
          <w:szCs w:val="32"/>
          <w:lang w:val="en-US" w:eastAsia="zh-CN" w:bidi="ar"/>
        </w:rPr>
        <w:t>第十二条</w:t>
      </w:r>
      <w:r>
        <w:rPr>
          <w:rFonts w:hint="default" w:ascii="Times New Roman" w:hAnsi="Times New Roman" w:eastAsia="仿宋" w:cs="Times New Roman"/>
          <w:bCs/>
          <w:kern w:val="0"/>
          <w:sz w:val="32"/>
          <w:szCs w:val="32"/>
          <w:lang w:val="en-US" w:eastAsia="zh-CN" w:bidi="ar"/>
        </w:rPr>
        <w:t xml:space="preserve"> </w:t>
      </w:r>
      <w:r>
        <w:rPr>
          <w:rFonts w:hint="default" w:ascii="Times New Roman" w:hAnsi="Times New Roman" w:eastAsia="仿宋" w:cs="Times New Roman"/>
          <w:kern w:val="2"/>
          <w:sz w:val="32"/>
          <w:szCs w:val="32"/>
          <w:lang w:val="en-US" w:eastAsia="zh-CN" w:bidi="ar"/>
        </w:rPr>
        <w:t>经学校批准报废的</w:t>
      </w:r>
      <w:r>
        <w:rPr>
          <w:rFonts w:hint="default" w:ascii="Times New Roman" w:hAnsi="Times New Roman" w:eastAsia="仿宋" w:cs="Times New Roman"/>
          <w:bCs/>
          <w:kern w:val="0"/>
          <w:sz w:val="32"/>
          <w:szCs w:val="32"/>
          <w:lang w:val="en-US" w:eastAsia="zh-CN" w:bidi="ar"/>
        </w:rPr>
        <w:t>机动车辆，实物须交由具备回收资质的企业回收处置，原使用单位负责办理机动车注销手续。在采资平台上传“报废汽车回收证明”“机动车注销证明”、回收企业开具的正式收购发票及处置收入上缴学校的缴款凭证等材料后，办理固定资产销账手续。</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b/>
          <w:bCs/>
          <w:kern w:val="0"/>
          <w:sz w:val="32"/>
          <w:szCs w:val="32"/>
          <w:lang w:val="en-US" w:eastAsia="zh-CN" w:bidi="ar"/>
        </w:rPr>
        <w:t>第十三条</w:t>
      </w:r>
      <w:r>
        <w:rPr>
          <w:rFonts w:hint="default" w:ascii="Times New Roman" w:hAnsi="Times New Roman" w:eastAsia="仿宋" w:cs="Times New Roman"/>
          <w:bCs/>
          <w:kern w:val="0"/>
          <w:sz w:val="32"/>
          <w:szCs w:val="32"/>
          <w:lang w:val="en-US" w:eastAsia="zh-CN" w:bidi="ar"/>
        </w:rPr>
        <w:t xml:space="preserve"> </w:t>
      </w:r>
      <w:r>
        <w:rPr>
          <w:rFonts w:hint="default" w:ascii="Times New Roman" w:hAnsi="Times New Roman" w:eastAsia="仿宋" w:cs="Times New Roman"/>
          <w:kern w:val="0"/>
          <w:sz w:val="32"/>
          <w:szCs w:val="32"/>
          <w:lang w:val="en-US" w:eastAsia="zh-CN" w:bidi="ar"/>
        </w:rPr>
        <w:t>使用单位认定为无回收价值的木制家具，</w:t>
      </w:r>
      <w:r>
        <w:rPr>
          <w:rFonts w:hint="default" w:ascii="Times New Roman" w:hAnsi="Times New Roman" w:eastAsia="仿宋" w:cs="Times New Roman"/>
          <w:bCs/>
          <w:kern w:val="0"/>
          <w:sz w:val="32"/>
          <w:szCs w:val="32"/>
          <w:lang w:val="en-US" w:eastAsia="zh-CN" w:bidi="ar"/>
        </w:rPr>
        <w:t>可通过采资平台提交《报废技术鉴定表》与</w:t>
      </w:r>
      <w:r>
        <w:rPr>
          <w:rFonts w:hint="default" w:ascii="Times New Roman" w:hAnsi="Times New Roman" w:eastAsia="仿宋" w:cs="Times New Roman"/>
          <w:kern w:val="0"/>
          <w:sz w:val="32"/>
          <w:szCs w:val="32"/>
          <w:lang w:val="en-US" w:eastAsia="zh-CN" w:bidi="ar"/>
        </w:rPr>
        <w:t>《木制家具报废申请》，经资产后勤处批准后自行处置。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kern w:val="0"/>
          <w:sz w:val="32"/>
          <w:szCs w:val="32"/>
          <w:lang w:val="en-US"/>
        </w:rPr>
      </w:pPr>
      <w:r>
        <w:rPr>
          <w:rFonts w:hint="default" w:ascii="Times New Roman" w:hAnsi="Times New Roman" w:eastAsia="仿宋" w:cs="Times New Roman"/>
          <w:b/>
          <w:bCs w:val="0"/>
          <w:color w:val="auto"/>
          <w:kern w:val="2"/>
          <w:sz w:val="32"/>
          <w:szCs w:val="32"/>
          <w:lang w:val="en-US" w:eastAsia="zh-CN" w:bidi="ar"/>
        </w:rPr>
        <w:t xml:space="preserve">第十四条 </w:t>
      </w:r>
      <w:r>
        <w:rPr>
          <w:rFonts w:hint="default" w:ascii="Times New Roman" w:hAnsi="Times New Roman" w:eastAsia="仿宋" w:cs="Times New Roman"/>
          <w:kern w:val="0"/>
          <w:sz w:val="32"/>
          <w:szCs w:val="32"/>
          <w:lang w:val="en-US" w:eastAsia="zh-CN" w:bidi="ar"/>
        </w:rPr>
        <w:t>单价不满1000元的低值设备、低值家具不再参照固定资产进行管理，由使用单位按照本单位内控制度自行管理。</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bCs/>
          <w:kern w:val="0"/>
          <w:sz w:val="32"/>
          <w:szCs w:val="32"/>
          <w:lang w:val="en-US"/>
        </w:rPr>
      </w:pPr>
      <w:r>
        <w:rPr>
          <w:rFonts w:hint="default" w:ascii="Times New Roman" w:hAnsi="Times New Roman" w:eastAsia="仿宋" w:cs="Times New Roman"/>
          <w:b/>
          <w:bCs/>
          <w:kern w:val="0"/>
          <w:sz w:val="32"/>
          <w:szCs w:val="32"/>
          <w:lang w:val="en-US" w:eastAsia="zh-CN" w:bidi="ar"/>
        </w:rPr>
        <w:t>第十五条</w:t>
      </w:r>
      <w:r>
        <w:rPr>
          <w:rFonts w:hint="default" w:ascii="Times New Roman" w:hAnsi="Times New Roman" w:eastAsia="仿宋" w:cs="Times New Roman"/>
          <w:bCs/>
          <w:kern w:val="0"/>
          <w:sz w:val="32"/>
          <w:szCs w:val="32"/>
          <w:lang w:val="en-US" w:eastAsia="zh-CN" w:bidi="ar"/>
        </w:rPr>
        <w:t xml:space="preserve"> 完成报废手续的设备和家具，由资产后勤处委托评估公司进行评估，经分管校领导批准后，委托有资质的拍卖机构以公开拍卖或者协议竞价等方式处置。</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bCs/>
          <w:kern w:val="0"/>
          <w:sz w:val="32"/>
          <w:szCs w:val="32"/>
          <w:lang w:val="en-US"/>
        </w:rPr>
      </w:pPr>
      <w:r>
        <w:rPr>
          <w:rFonts w:hint="default" w:ascii="Times New Roman" w:hAnsi="Times New Roman" w:eastAsia="仿宋" w:cs="Times New Roman"/>
          <w:kern w:val="0"/>
          <w:sz w:val="32"/>
          <w:szCs w:val="32"/>
          <w:lang w:val="en-US" w:eastAsia="zh-CN" w:bidi="ar"/>
        </w:rPr>
        <w:t>已达使用年限的固定资产处置收入纳入学校预算统一管理；未达使用年限的固定资产处置收入，在扣除相关税金、评估费等费用后，按照有关规定上缴中央国库。</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b/>
          <w:bCs w:val="0"/>
          <w:color w:val="auto"/>
          <w:kern w:val="2"/>
          <w:sz w:val="32"/>
          <w:szCs w:val="32"/>
          <w:lang w:val="en-US" w:eastAsia="zh-CN" w:bidi="ar"/>
        </w:rPr>
        <w:t>第十六条</w:t>
      </w:r>
      <w:r>
        <w:rPr>
          <w:rFonts w:hint="default" w:ascii="Times New Roman" w:hAnsi="Times New Roman" w:eastAsia="仿宋" w:cs="Times New Roman"/>
          <w:color w:val="auto"/>
          <w:kern w:val="2"/>
          <w:sz w:val="32"/>
          <w:szCs w:val="32"/>
          <w:lang w:val="en-US" w:eastAsia="zh-CN" w:bidi="ar"/>
        </w:rPr>
        <w:t xml:space="preserve"> 符合报废条件的设备，经单位申请并报学校批准后可进行捐赠。待捐赠的仪器设备须按程序办理报废手续并销账后移交受赠单位，受赠单位接收后应当出具接收证明。</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b/>
          <w:bCs w:val="0"/>
          <w:color w:val="auto"/>
          <w:kern w:val="2"/>
          <w:sz w:val="32"/>
          <w:szCs w:val="32"/>
          <w:lang w:val="en-US" w:eastAsia="zh-CN" w:bidi="ar"/>
        </w:rPr>
        <w:t>第十七条</w:t>
      </w:r>
      <w:r>
        <w:rPr>
          <w:rFonts w:hint="default" w:ascii="Times New Roman" w:hAnsi="Times New Roman" w:eastAsia="仿宋" w:cs="Times New Roman"/>
          <w:color w:val="auto"/>
          <w:kern w:val="2"/>
          <w:sz w:val="32"/>
          <w:szCs w:val="32"/>
          <w:lang w:val="en-US" w:eastAsia="zh-CN" w:bidi="ar"/>
        </w:rPr>
        <w:t xml:space="preserve"> 本实施细则由资产后勤处负责解释。</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b/>
          <w:bCs/>
          <w:color w:val="auto"/>
          <w:kern w:val="2"/>
          <w:sz w:val="32"/>
          <w:szCs w:val="32"/>
          <w:lang w:val="en-US" w:eastAsia="zh-CN" w:bidi="ar"/>
        </w:rPr>
        <w:t>第十八条</w:t>
      </w:r>
      <w:r>
        <w:rPr>
          <w:rFonts w:hint="default" w:ascii="Times New Roman" w:hAnsi="Times New Roman" w:eastAsia="仿宋" w:cs="Times New Roman"/>
          <w:color w:val="auto"/>
          <w:kern w:val="2"/>
          <w:sz w:val="32"/>
          <w:szCs w:val="32"/>
          <w:lang w:val="en-US" w:eastAsia="zh-CN" w:bidi="ar"/>
        </w:rPr>
        <w:t xml:space="preserve"> 本实施细则自发布之日起施行。</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 w:cs="Times New Roman"/>
          <w:color w:val="auto"/>
          <w:sz w:val="32"/>
          <w:szCs w:val="32"/>
          <w:lang w:val="en-US"/>
        </w:rPr>
      </w:pPr>
    </w:p>
    <w:bookmarkEnd w:id="1"/>
    <w:p>
      <w:pPr>
        <w:keepNext w:val="0"/>
        <w:keepLines w:val="0"/>
        <w:widowControl w:val="0"/>
        <w:suppressLineNumbers w:val="0"/>
        <w:spacing w:before="0" w:beforeAutospacing="0" w:after="0" w:afterAutospacing="0" w:line="560" w:lineRule="exact"/>
        <w:ind w:left="0" w:right="0" w:firstLine="0" w:firstLineChars="0"/>
        <w:jc w:val="both"/>
        <w:rPr>
          <w:rFonts w:hint="eastAsia" w:ascii="Times New Roman" w:hAnsi="Times New Roman" w:eastAsia="仿宋" w:cs="Times New Roman"/>
          <w:sz w:val="32"/>
          <w:szCs w:val="32"/>
          <w:lang w:val="en-US" w:eastAsia="zh-CN"/>
        </w:rPr>
      </w:pPr>
    </w:p>
    <w:bookmarkEnd w:id="2"/>
    <w:p>
      <w:pPr>
        <w:widowControl/>
        <w:adjustRightInd w:val="0"/>
        <w:contextualSpacing/>
        <w:rPr>
          <w:rFonts w:hint="eastAsia" w:ascii="仿宋" w:hAnsi="仿宋" w:eastAsia="仿宋"/>
          <w:sz w:val="32"/>
          <w:szCs w:val="30"/>
        </w:rPr>
      </w:pPr>
      <w:r>
        <w:rPr>
          <w:rFonts w:hint="eastAsia" w:ascii="仿宋" w:hAnsi="仿宋" w:eastAsia="仿宋"/>
          <w:sz w:val="32"/>
          <w:szCs w:val="30"/>
        </w:rPr>
        <mc:AlternateContent>
          <mc:Choice Requires="wps">
            <w:drawing>
              <wp:anchor distT="0" distB="0" distL="114300" distR="114300" simplePos="0" relativeHeight="251659264" behindDoc="0" locked="0" layoutInCell="1" allowOverlap="1">
                <wp:simplePos x="0" y="0"/>
                <wp:positionH relativeFrom="margin">
                  <wp:posOffset>-1905</wp:posOffset>
                </wp:positionH>
                <wp:positionV relativeFrom="margin">
                  <wp:align>bottom</wp:align>
                </wp:positionV>
                <wp:extent cx="5615940" cy="504190"/>
                <wp:effectExtent l="0" t="254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15940" cy="504190"/>
                        </a:xfrm>
                        <a:prstGeom prst="rect">
                          <a:avLst/>
                        </a:prstGeom>
                        <a:solidFill>
                          <a:srgbClr val="FFFFFF"/>
                        </a:solidFill>
                        <a:ln>
                          <a:noFill/>
                        </a:ln>
                      </wps:spPr>
                      <wps:txbx>
                        <w:txbxContent>
                          <w:tbl>
                            <w:tblPr>
                              <w:tblStyle w:val="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2" w:type="dxa"/>
                                  <w:tcBorders>
                                    <w:top w:val="single" w:color="auto" w:sz="12" w:space="0"/>
                                    <w:left w:val="nil"/>
                                    <w:bottom w:val="single" w:color="auto" w:sz="12" w:space="0"/>
                                    <w:right w:val="nil"/>
                                  </w:tcBorders>
                                  <w:vAlign w:val="center"/>
                                </w:tcPr>
                                <w:p>
                                  <w:pPr>
                                    <w:ind w:left="210" w:leftChars="100"/>
                                    <w:rPr>
                                      <w:rFonts w:hint="eastAsia" w:ascii="仿宋_GB2312" w:hAnsi="仿宋_GB2312" w:eastAsia="仿宋_GB2312"/>
                                      <w:sz w:val="28"/>
                                    </w:rPr>
                                  </w:pPr>
                                  <w:bookmarkStart w:id="5" w:name="printunit"/>
                                  <w:r>
                                    <w:rPr>
                                      <w:rFonts w:hint="default" w:ascii="仿宋_GB2312" w:hAnsi="仿宋_GB2312" w:eastAsia="仿宋_GB2312"/>
                                      <w:sz w:val="28"/>
                                      <w:lang w:eastAsia="zh-CN"/>
                                    </w:rPr>
                                    <w:t>资产与后勤事务管理处</w:t>
                                  </w:r>
                                  <w:bookmarkEnd w:id="5"/>
                                </w:p>
                              </w:tc>
                              <w:tc>
                                <w:tcPr>
                                  <w:tcW w:w="4422" w:type="dxa"/>
                                  <w:tcBorders>
                                    <w:top w:val="single" w:color="auto" w:sz="12" w:space="0"/>
                                    <w:left w:val="nil"/>
                                    <w:bottom w:val="single" w:color="auto" w:sz="12" w:space="0"/>
                                    <w:right w:val="nil"/>
                                  </w:tcBorders>
                                  <w:vAlign w:val="center"/>
                                </w:tcPr>
                                <w:p>
                                  <w:pPr>
                                    <w:ind w:right="210" w:rightChars="100"/>
                                    <w:jc w:val="right"/>
                                    <w:rPr>
                                      <w:rFonts w:hint="eastAsia" w:ascii="仿宋_GB2312" w:hAnsi="仿宋_GB2312" w:eastAsia="仿宋_GB2312"/>
                                      <w:sz w:val="28"/>
                                    </w:rPr>
                                  </w:pPr>
                                  <w:bookmarkStart w:id="6" w:name="printdate"/>
                                  <w:r>
                                    <w:rPr>
                                      <w:rFonts w:hint="eastAsia" w:ascii="仿宋_GB2312" w:hAnsi="仿宋_GB2312" w:eastAsia="仿宋_GB2312"/>
                                      <w:sz w:val="28"/>
                                      <w:lang w:eastAsia="zh-CN"/>
                                    </w:rPr>
                                    <w:t>2025年3月17日</w:t>
                                  </w:r>
                                  <w:bookmarkEnd w:id="6"/>
                                  <w:r>
                                    <w:rPr>
                                      <w:rFonts w:hint="eastAsia" w:ascii="仿宋_GB2312" w:hAnsi="仿宋_GB2312" w:eastAsia="仿宋_GB2312"/>
                                      <w:sz w:val="28"/>
                                    </w:rPr>
                                    <w:t>印发</w:t>
                                  </w:r>
                                </w:p>
                              </w:tc>
                            </w:tr>
                          </w:tbl>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0.15pt;height:39.7pt;width:442.2pt;mso-position-horizontal-relative:margin;mso-position-vertical:bottom;mso-position-vertical-relative:margin;mso-wrap-distance-bottom:0pt;mso-wrap-distance-left:9pt;mso-wrap-distance-right:9pt;mso-wrap-distance-top:0pt;z-index:251659264;mso-width-relative:page;mso-height-relative:page;" fillcolor="#FFFFFF" filled="t" stroked="f" coordsize="21600,21600" o:gfxdata="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VN37TUAAAABQEAAA8AAAAAAAAAAQAgAAAAIgAAAGRycy9kb3ducmV2LnhtbFBLAQIUABQAAAAI&#10;AIdO4kDgIc/0KgIAAD4EAAAOAAAAAAAAAAEAIAAAACMBAABkcnMvZTJvRG9jLnhtbFBLBQYAAAAA&#10;BgAGAFkBAAC/BQAAAAA=&#10;">
                <v:fill on="t" focussize="0,0"/>
                <v:stroke on="f"/>
                <v:imagedata o:title=""/>
                <o:lock v:ext="edit" aspectratio="f"/>
                <v:textbox>
                  <w:txbxContent>
                    <w:tbl>
                      <w:tblPr>
                        <w:tblStyle w:val="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422" w:type="dxa"/>
                            <w:tcBorders>
                              <w:top w:val="single" w:color="auto" w:sz="12" w:space="0"/>
                              <w:left w:val="nil"/>
                              <w:bottom w:val="single" w:color="auto" w:sz="12" w:space="0"/>
                              <w:right w:val="nil"/>
                            </w:tcBorders>
                            <w:vAlign w:val="center"/>
                          </w:tcPr>
                          <w:p>
                            <w:pPr>
                              <w:ind w:left="210" w:leftChars="100"/>
                              <w:rPr>
                                <w:rFonts w:hint="eastAsia" w:ascii="仿宋_GB2312" w:hAnsi="仿宋_GB2312" w:eastAsia="仿宋_GB2312"/>
                                <w:sz w:val="28"/>
                              </w:rPr>
                            </w:pPr>
                            <w:bookmarkStart w:id="5" w:name="printunit"/>
                            <w:r>
                              <w:rPr>
                                <w:rFonts w:hint="default" w:ascii="仿宋_GB2312" w:hAnsi="仿宋_GB2312" w:eastAsia="仿宋_GB2312"/>
                                <w:sz w:val="28"/>
                                <w:lang w:eastAsia="zh-CN"/>
                              </w:rPr>
                              <w:t>资产与后勤事务管理处</w:t>
                            </w:r>
                            <w:bookmarkEnd w:id="5"/>
                          </w:p>
                        </w:tc>
                        <w:tc>
                          <w:tcPr>
                            <w:tcW w:w="4422" w:type="dxa"/>
                            <w:tcBorders>
                              <w:top w:val="single" w:color="auto" w:sz="12" w:space="0"/>
                              <w:left w:val="nil"/>
                              <w:bottom w:val="single" w:color="auto" w:sz="12" w:space="0"/>
                              <w:right w:val="nil"/>
                            </w:tcBorders>
                            <w:vAlign w:val="center"/>
                          </w:tcPr>
                          <w:p>
                            <w:pPr>
                              <w:ind w:right="210" w:rightChars="100"/>
                              <w:jc w:val="right"/>
                              <w:rPr>
                                <w:rFonts w:hint="eastAsia" w:ascii="仿宋_GB2312" w:hAnsi="仿宋_GB2312" w:eastAsia="仿宋_GB2312"/>
                                <w:sz w:val="28"/>
                              </w:rPr>
                            </w:pPr>
                            <w:bookmarkStart w:id="6" w:name="printdate"/>
                            <w:r>
                              <w:rPr>
                                <w:rFonts w:hint="eastAsia" w:ascii="仿宋_GB2312" w:hAnsi="仿宋_GB2312" w:eastAsia="仿宋_GB2312"/>
                                <w:sz w:val="28"/>
                                <w:lang w:eastAsia="zh-CN"/>
                              </w:rPr>
                              <w:t>2025年3月17日</w:t>
                            </w:r>
                            <w:bookmarkEnd w:id="6"/>
                            <w:r>
                              <w:rPr>
                                <w:rFonts w:hint="eastAsia" w:ascii="仿宋_GB2312" w:hAnsi="仿宋_GB2312" w:eastAsia="仿宋_GB2312"/>
                                <w:sz w:val="28"/>
                              </w:rPr>
                              <w:t>印发</w:t>
                            </w:r>
                          </w:p>
                        </w:tc>
                      </w:tr>
                    </w:tbl>
                    <w:p/>
                  </w:txbxContent>
                </v:textbox>
                <w10:wrap type="square"/>
              </v:shape>
            </w:pict>
          </mc:Fallback>
        </mc:AlternateConten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417" w:gutter="0"/>
      <w:pgNumType w:fmt="numberInDash"/>
      <w:cols w:space="720" w:num="1"/>
      <w:titlePg/>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Bookman Old Style">
    <w:altName w:val="Times New Roman"/>
    <w:panose1 w:val="020506040505050202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3" w:firstLineChars="9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8" w:rightChars="161" w:firstLine="26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mNTgxZjU5M2U5NjUzNDg0YWQ0NTVhOTg2MjE1YWEifQ=="/>
  </w:docVars>
  <w:rsids>
    <w:rsidRoot w:val="00F77A29"/>
    <w:rsid w:val="0000383D"/>
    <w:rsid w:val="000B2A3C"/>
    <w:rsid w:val="000C6E1F"/>
    <w:rsid w:val="000E7300"/>
    <w:rsid w:val="000F0D2C"/>
    <w:rsid w:val="001224A9"/>
    <w:rsid w:val="001350FA"/>
    <w:rsid w:val="00160912"/>
    <w:rsid w:val="00164C2E"/>
    <w:rsid w:val="001703C5"/>
    <w:rsid w:val="00192616"/>
    <w:rsid w:val="00195991"/>
    <w:rsid w:val="00197115"/>
    <w:rsid w:val="001D45E1"/>
    <w:rsid w:val="001F6A36"/>
    <w:rsid w:val="0024751B"/>
    <w:rsid w:val="00273341"/>
    <w:rsid w:val="002C6A67"/>
    <w:rsid w:val="002F7763"/>
    <w:rsid w:val="00315E95"/>
    <w:rsid w:val="0033085D"/>
    <w:rsid w:val="003725AF"/>
    <w:rsid w:val="003C2476"/>
    <w:rsid w:val="003D2619"/>
    <w:rsid w:val="004F5752"/>
    <w:rsid w:val="00503E39"/>
    <w:rsid w:val="00556983"/>
    <w:rsid w:val="00566316"/>
    <w:rsid w:val="00571DE5"/>
    <w:rsid w:val="00580825"/>
    <w:rsid w:val="005D467A"/>
    <w:rsid w:val="0067351C"/>
    <w:rsid w:val="00682D71"/>
    <w:rsid w:val="006A05A0"/>
    <w:rsid w:val="006F11E3"/>
    <w:rsid w:val="00717B2D"/>
    <w:rsid w:val="007A6262"/>
    <w:rsid w:val="007B3E0E"/>
    <w:rsid w:val="007B672D"/>
    <w:rsid w:val="007C3F5F"/>
    <w:rsid w:val="0083313E"/>
    <w:rsid w:val="008B70FD"/>
    <w:rsid w:val="008C1469"/>
    <w:rsid w:val="008C3814"/>
    <w:rsid w:val="00921EBA"/>
    <w:rsid w:val="00987C01"/>
    <w:rsid w:val="009C55DF"/>
    <w:rsid w:val="009E53B0"/>
    <w:rsid w:val="00A87F1F"/>
    <w:rsid w:val="00AC3015"/>
    <w:rsid w:val="00AE4B2F"/>
    <w:rsid w:val="00B10629"/>
    <w:rsid w:val="00B43A78"/>
    <w:rsid w:val="00C03C0D"/>
    <w:rsid w:val="00C03CC7"/>
    <w:rsid w:val="00C12A6C"/>
    <w:rsid w:val="00C872EA"/>
    <w:rsid w:val="00C9593F"/>
    <w:rsid w:val="00CB6FB9"/>
    <w:rsid w:val="00CD0CEE"/>
    <w:rsid w:val="00D16EA5"/>
    <w:rsid w:val="00D8475C"/>
    <w:rsid w:val="00DA54B0"/>
    <w:rsid w:val="00DB0EB5"/>
    <w:rsid w:val="00E275A2"/>
    <w:rsid w:val="00EB1F29"/>
    <w:rsid w:val="00EC3944"/>
    <w:rsid w:val="00EC647E"/>
    <w:rsid w:val="00ED2F49"/>
    <w:rsid w:val="00F04981"/>
    <w:rsid w:val="00F04EA6"/>
    <w:rsid w:val="00F36E29"/>
    <w:rsid w:val="00F559B0"/>
    <w:rsid w:val="00F77A29"/>
    <w:rsid w:val="00FF6A7B"/>
    <w:rsid w:val="086D341E"/>
    <w:rsid w:val="3BFB6A58"/>
    <w:rsid w:val="3EFF671D"/>
    <w:rsid w:val="5F456957"/>
    <w:rsid w:val="5FA1AC96"/>
    <w:rsid w:val="5FD7BC54"/>
    <w:rsid w:val="6C7E8088"/>
    <w:rsid w:val="6F457459"/>
    <w:rsid w:val="6FCEA266"/>
    <w:rsid w:val="6FFF7C0E"/>
    <w:rsid w:val="77F7C028"/>
    <w:rsid w:val="7BFF9B6C"/>
    <w:rsid w:val="7DEF2B57"/>
    <w:rsid w:val="7FBB6AA4"/>
    <w:rsid w:val="7FF8E89B"/>
    <w:rsid w:val="9C9F4E12"/>
    <w:rsid w:val="AFDE5386"/>
    <w:rsid w:val="B65F3314"/>
    <w:rsid w:val="BAD8AF40"/>
    <w:rsid w:val="DBF8F052"/>
    <w:rsid w:val="FB9FEE70"/>
    <w:rsid w:val="FBED8CC2"/>
    <w:rsid w:val="FEB41616"/>
    <w:rsid w:val="FEBE6AA8"/>
    <w:rsid w:val="FFDA28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lang w:val="zh-CN" w:eastAsia="zh-CN"/>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customStyle="1" w:styleId="9">
    <w:name w:val="页脚 Char"/>
    <w:link w:val="3"/>
    <w:qFormat/>
    <w:uiPriority w:val="99"/>
    <w:rPr>
      <w:rFonts w:ascii="Times New Roman" w:hAnsi="Times New Roman" w:eastAsia="宋体" w:cs="Times New Roman"/>
      <w:kern w:val="0"/>
      <w:sz w:val="18"/>
      <w:szCs w:val="18"/>
      <w:lang w:val="zh-CN" w:eastAsia="zh-CN"/>
    </w:rPr>
  </w:style>
  <w:style w:type="character" w:customStyle="1" w:styleId="10">
    <w:name w:val="批注框文本 字符"/>
    <w:link w:val="2"/>
    <w:semiHidden/>
    <w:qFormat/>
    <w:uiPriority w:val="99"/>
    <w:rPr>
      <w:rFonts w:ascii="Times New Roman" w:hAnsi="Times New Roman"/>
      <w:kern w:val="2"/>
      <w:sz w:val="18"/>
      <w:szCs w:val="18"/>
    </w:rPr>
  </w:style>
  <w:style w:type="character" w:customStyle="1" w:styleId="11">
    <w:name w:val="页眉 字符"/>
    <w:link w:val="4"/>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16</Words>
  <Characters>16</Characters>
  <Lines>1</Lines>
  <Paragraphs>1</Paragraphs>
  <TotalTime>0</TotalTime>
  <ScaleCrop>false</ScaleCrop>
  <LinksUpToDate>false</LinksUpToDate>
  <CharactersWithSpaces>16</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2022-06-27T01:33:00Z</dcterms:created>
  <dc:creator>xbms</dc:creator>
  <cp:lastModifiedBy>赵伯龙</cp:lastModifiedBy>
  <dcterms:modified xsi:type="dcterms:W3CDTF">2025-03-18T14:46:00Z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C39FDFB7DAB841D28B5B6D361D888792_13</vt:lpwstr>
  </property>
</Properties>
</file>